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40"/>
        <w:ind w:hanging="0"/>
        <w:jc w:val="center"/>
        <w:rPr>
          <w:sz w:val="24"/>
          <w:szCs w:val="24"/>
        </w:rPr>
      </w:pPr>
      <w:r>
        <w:rPr>
          <w:color w:val="2E252D"/>
          <w:sz w:val="24"/>
          <w:szCs w:val="24"/>
        </w:rPr>
        <w:t>Федеральное государственное образовательное бюджетное учреждение высшего</w:t>
        <w:br/>
        <w:t>образования</w:t>
      </w:r>
    </w:p>
    <w:p>
      <w:pPr>
        <w:pStyle w:val="11"/>
        <w:spacing w:lineRule="auto" w:line="240" w:before="0" w:after="280"/>
        <w:ind w:hanging="0"/>
        <w:jc w:val="center"/>
        <w:rPr>
          <w:sz w:val="24"/>
          <w:szCs w:val="24"/>
        </w:rPr>
      </w:pPr>
      <w:r>
        <w:rPr>
          <w:b/>
          <w:bCs/>
          <w:color w:val="2E252D"/>
          <w:sz w:val="24"/>
          <w:szCs w:val="24"/>
        </w:rPr>
        <w:t>«Финансовый университет при Правительстве</w:t>
        <w:br/>
        <w:t>Российской Федерации»</w:t>
        <w:br/>
        <w:t>(Финансовый университет)</w:t>
      </w:r>
    </w:p>
    <w:p>
      <w:pPr>
        <w:pStyle w:val="11"/>
        <w:spacing w:lineRule="auto" w:line="240"/>
        <w:ind w:hanging="0"/>
        <w:jc w:val="center"/>
        <w:rPr>
          <w:b/>
          <w:bCs/>
          <w:color w:val="2E252D"/>
          <w:sz w:val="24"/>
          <w:szCs w:val="24"/>
        </w:rPr>
      </w:pPr>
      <w:r>
        <w:rPr>
          <w:b/>
          <w:bCs/>
          <w:color w:val="2E252D"/>
          <w:sz w:val="24"/>
          <w:szCs w:val="24"/>
        </w:rPr>
        <w:t>Алтайский филиал Финансового университета</w:t>
      </w:r>
    </w:p>
    <w:p>
      <w:pPr>
        <w:pStyle w:val="11"/>
        <w:spacing w:lineRule="auto" w:line="240"/>
        <w:ind w:hanging="0"/>
        <w:jc w:val="center"/>
        <w:rPr>
          <w:b/>
          <w:bCs/>
          <w:color w:val="2E252D"/>
          <w:sz w:val="24"/>
          <w:szCs w:val="24"/>
        </w:rPr>
      </w:pPr>
      <w:r>
        <w:rPr>
          <w:b/>
          <w:bCs/>
          <w:color w:val="2E252D"/>
          <w:sz w:val="24"/>
          <w:szCs w:val="24"/>
        </w:rPr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</w:t>
      </w:r>
      <w:r>
        <w:rPr>
          <w:rFonts w:ascii="Times New Roman" w:hAnsi="Times New Roman"/>
        </w:rPr>
        <w:t>2024 г.</w:t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908" w:right="1097" w:gutter="0" w:header="0" w:top="1934" w:footer="3" w:bottom="1689"/>
          <w:pgNumType w:fmt="decimal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exact" w:line="240" w:before="79" w:after="79"/>
        <w:rPr/>
      </w:pPr>
      <w:r>
        <w:rPr/>
      </w:r>
    </w:p>
    <w:p>
      <w:pPr>
        <w:sectPr>
          <w:type w:val="continuous"/>
          <w:pgSz w:w="11906" w:h="16838"/>
          <w:pgMar w:left="1908" w:right="1097" w:gutter="0" w:header="0" w:top="1934" w:footer="3" w:bottom="1689"/>
          <w:formProt w:val="false"/>
          <w:titlePg/>
          <w:textDirection w:val="lrTb"/>
          <w:docGrid w:type="default" w:linePitch="360" w:charSpace="0"/>
        </w:sectPr>
      </w:pPr>
    </w:p>
    <w:p>
      <w:pPr>
        <w:pStyle w:val="Normal"/>
        <w:spacing w:lineRule="exact" w:line="1"/>
        <w:rPr/>
      </w:pPr>
      <w:r>
        <w:rPr/>
      </w:r>
    </w:p>
    <w:p>
      <w:pPr>
        <w:pStyle w:val="Normal"/>
        <w:spacing w:lineRule="exact" w:line="24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4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4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4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Normal"/>
        <w:spacing w:lineRule="exact" w:line="240" w:before="72" w:after="72"/>
        <w:rPr>
          <w:sz w:val="19"/>
          <w:szCs w:val="19"/>
        </w:rPr>
      </w:pPr>
      <w:r>
        <w:rPr>
          <w:sz w:val="19"/>
          <w:szCs w:val="19"/>
        </w:rPr>
      </w:r>
    </w:p>
    <w:p>
      <w:pPr>
        <w:sectPr>
          <w:type w:val="continuous"/>
          <w:pgSz w:w="11906" w:h="16838"/>
          <w:pgMar w:left="1908" w:right="1097" w:gutter="0" w:header="0" w:top="1934" w:footer="3" w:bottom="1689"/>
          <w:formProt w:val="false"/>
          <w:titlePg/>
          <w:textDirection w:val="lrTb"/>
          <w:docGrid w:type="default" w:linePitch="360" w:charSpace="0"/>
        </w:sectPr>
      </w:pP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372" w:before="0" w:after="420"/>
        <w:ind w:hanging="0"/>
        <w:jc w:val="center"/>
        <w:rPr>
          <w:b/>
          <w:bCs/>
          <w:color w:val="2E252D"/>
        </w:rPr>
      </w:pPr>
      <w:r>
        <w:rPr>
          <w:b/>
          <w:bCs/>
        </w:rPr>
        <w:t>по профессиональному модулю</w:t>
      </w:r>
    </w:p>
    <w:p>
      <w:pPr>
        <w:pStyle w:val="11"/>
        <w:spacing w:lineRule="auto" w:line="372" w:before="0" w:after="420"/>
        <w:ind w:hanging="0"/>
        <w:jc w:val="center"/>
        <w:rPr/>
      </w:pPr>
      <w:r>
        <w:rPr>
          <w:b/>
          <w:bCs/>
          <w:color w:val="2E252D"/>
        </w:rPr>
        <w:t>ПМ.11. Разработка, администрирование</w:t>
        <w:br/>
        <w:t>и защита баз данных</w:t>
      </w:r>
    </w:p>
    <w:p>
      <w:pPr>
        <w:pStyle w:val="11"/>
        <w:spacing w:lineRule="auto" w:line="240"/>
        <w:ind w:hanging="0"/>
        <w:jc w:val="center"/>
        <w:rPr/>
      </w:pPr>
      <w:r>
        <w:rPr>
          <w:iCs/>
          <w:color w:themeColor="text1" w:val="000000"/>
        </w:rPr>
        <w:t>по специальности</w:t>
      </w:r>
      <w:r>
        <w:rPr>
          <w:color w:val="2E252D"/>
        </w:rPr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420"/>
        <w:ind w:hanging="0" w:start="4640"/>
        <w:rPr>
          <w:color w:val="2E252D"/>
        </w:rPr>
      </w:pPr>
      <w:r>
        <w:rPr>
          <w:color w:val="2E252D"/>
        </w:rPr>
      </w:r>
    </w:p>
    <w:p>
      <w:pPr>
        <w:pStyle w:val="11"/>
        <w:spacing w:lineRule="auto" w:line="240" w:before="0" w:after="420"/>
        <w:ind w:hanging="0" w:start="4640"/>
        <w:rPr>
          <w:color w:val="2E252D"/>
        </w:rPr>
      </w:pPr>
      <w:r>
        <w:rPr>
          <w:color w:val="2E252D"/>
        </w:rPr>
      </w:r>
    </w:p>
    <w:p>
      <w:pPr>
        <w:pStyle w:val="11"/>
        <w:spacing w:lineRule="auto" w:line="240" w:before="0" w:after="420"/>
        <w:ind w:hanging="0" w:start="4640"/>
        <w:rPr>
          <w:color w:val="2E252D"/>
        </w:rPr>
      </w:pPr>
      <w:r>
        <w:rPr>
          <w:color w:val="2E252D"/>
        </w:rPr>
      </w:r>
    </w:p>
    <w:p>
      <w:pPr>
        <w:pStyle w:val="11"/>
        <w:spacing w:lineRule="auto" w:line="240" w:before="0" w:after="420"/>
        <w:ind w:hanging="0" w:start="4640"/>
        <w:rPr/>
      </w:pPr>
      <w:r>
        <w:rPr>
          <w:color w:val="2E252D"/>
        </w:rPr>
        <w:t>Барнаул 2024 г.</w:t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874" w:leader="none"/>
        </w:tabs>
        <w:spacing w:lineRule="auto" w:line="360"/>
        <w:ind w:firstLine="520"/>
        <w:jc w:val="center"/>
        <w:rPr>
          <w:b/>
        </w:rPr>
      </w:pPr>
      <w:r>
        <w:rPr>
          <w:b/>
        </w:rPr>
        <w:t>Кодификатор фонда оценочных средств</w:t>
      </w:r>
    </w:p>
    <w:p>
      <w:pPr>
        <w:pStyle w:val="12"/>
        <w:keepNext w:val="true"/>
        <w:keepLines/>
        <w:tabs>
          <w:tab w:val="clear" w:pos="708"/>
          <w:tab w:val="left" w:pos="1221" w:leader="none"/>
        </w:tabs>
        <w:spacing w:before="0" w:after="0"/>
        <w:ind w:firstLine="709"/>
        <w:jc w:val="both"/>
        <w:rPr/>
      </w:pPr>
      <w:bookmarkStart w:id="0" w:name="bookmark7"/>
      <w:bookmarkStart w:id="1" w:name="bookmark5"/>
      <w:bookmarkStart w:id="2" w:name="bookmark4"/>
      <w:bookmarkStart w:id="3" w:name="bookmark6"/>
      <w:bookmarkEnd w:id="3"/>
      <w:r>
        <w:rPr/>
        <w:t xml:space="preserve">Наименование профессионального модуля ПМ.11. Разработка, администрирование и защита баз данных </w:t>
      </w:r>
    </w:p>
    <w:p>
      <w:pPr>
        <w:pStyle w:val="12"/>
        <w:keepNext w:val="true"/>
        <w:keepLines/>
        <w:tabs>
          <w:tab w:val="clear" w:pos="708"/>
          <w:tab w:val="left" w:pos="1221" w:leader="none"/>
        </w:tabs>
        <w:spacing w:before="0" w:after="0"/>
        <w:ind w:firstLine="709"/>
        <w:jc w:val="both"/>
        <w:rPr/>
      </w:pPr>
      <w:bookmarkStart w:id="4" w:name="bookmark7"/>
      <w:bookmarkStart w:id="5" w:name="bookmark5"/>
      <w:bookmarkStart w:id="6" w:name="bookmark4"/>
      <w:r>
        <w:rPr/>
        <w:t>Планируемые результаты освоения профессионального модуля</w:t>
      </w:r>
      <w:bookmarkEnd w:id="4"/>
      <w:bookmarkEnd w:id="5"/>
      <w:bookmarkEnd w:id="6"/>
      <w:r>
        <w:rPr/>
        <w:t>: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ОК 01.</w:t>
        <w:tab/>
        <w:t>Выбирать способы решения задач профессиональной деятельности, применительно к различным контекстам.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ОК 02.</w:t>
        <w:tab/>
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ОК 03.</w:t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ОК 04.</w:t>
        <w:tab/>
        <w:t>Эффективно взаимодействовать и работать в коллективе и команде.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ОК 05.</w:t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ОК 09.</w:t>
        <w:tab/>
        <w:t>Пользоваться профессиональной документацией на государственном и иностранном языках.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ПК.11.1.</w:t>
        <w:tab/>
        <w:t>Осуществлять сбор, обработку и анализ информации для проектирования баз данных.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ПК.11.2.</w:t>
        <w:tab/>
        <w:t>Проектировать базу данных на основе анализа предметной области.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ПК.11.3.</w:t>
        <w:tab/>
        <w:t>Разрабатывать объекты базы данных в соответствии с результатами анализа предметной области.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ПК.11.4.</w:t>
        <w:tab/>
        <w:t>Реализовывать базу данных в конкретной системе управления базами данных.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ПК.11.5.</w:t>
        <w:tab/>
        <w:t>Администрировать базы данных.</w:t>
      </w:r>
    </w:p>
    <w:p>
      <w:pPr>
        <w:pStyle w:val="12"/>
        <w:keepNext w:val="true"/>
        <w:keepLines/>
        <w:spacing w:before="0" w:after="0"/>
        <w:ind w:firstLine="709"/>
        <w:jc w:val="both"/>
        <w:rPr/>
      </w:pPr>
      <w:r>
        <w:rPr/>
        <w:t>ПК.11.6.</w:t>
        <w:tab/>
        <w:t>Защищать информацию в базе данных с использованием технологии защиты информации.</w:t>
      </w:r>
    </w:p>
    <w:p>
      <w:pPr>
        <w:pStyle w:val="11"/>
        <w:spacing w:lineRule="auto" w:line="240"/>
        <w:ind w:firstLine="822"/>
        <w:rPr/>
      </w:pPr>
      <w:r>
        <w:rPr/>
      </w:r>
      <w:bookmarkStart w:id="7" w:name="bookmark13"/>
      <w:bookmarkStart w:id="8" w:name="bookmark13"/>
      <w:bookmarkEnd w:id="8"/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82" w:leader="none"/>
        </w:tabs>
        <w:jc w:val="center"/>
        <w:rPr>
          <w:b/>
        </w:rPr>
      </w:pPr>
      <w:r>
        <w:rPr>
          <w:b/>
        </w:rPr>
        <w:t>Оценочные материалы</w:t>
      </w:r>
      <w:bookmarkStart w:id="9" w:name="_GoBack"/>
      <w:bookmarkEnd w:id="9"/>
    </w:p>
    <w:p>
      <w:pPr>
        <w:pStyle w:val="11"/>
        <w:tabs>
          <w:tab w:val="clear" w:pos="708"/>
          <w:tab w:val="left" w:pos="724" w:leader="none"/>
        </w:tabs>
        <w:spacing w:lineRule="auto" w:line="372"/>
        <w:ind w:hanging="0" w:start="380"/>
        <w:rPr>
          <w:b/>
          <w:sz w:val="24"/>
          <w:szCs w:val="24"/>
        </w:rPr>
      </w:pPr>
      <w:r>
        <w:rPr>
          <w:b/>
          <w:sz w:val="24"/>
          <w:szCs w:val="24"/>
        </w:rPr>
        <w:t>МДК.11.01 Технология разработки и защиты баз данных</w:t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язык используется для работы с реляционными базами данных?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2.</w:t>
      </w:r>
      <w:r>
        <w:rPr>
          <w:sz w:val="24"/>
          <w:szCs w:val="24"/>
          <w:shd w:fill="FFFFFF" w:val="clear"/>
        </w:rPr>
        <w:t> Процесс упорядочивания данных для уменьшения избыточности – это …</w:t>
      </w:r>
      <w:r>
        <w:rPr>
          <w:sz w:val="24"/>
          <w:szCs w:val="24"/>
        </w:rPr>
        <w:t xml:space="preserve"> </w:t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3.</w:t>
      </w:r>
      <w:r>
        <w:rPr>
          <w:sz w:val="24"/>
          <w:szCs w:val="24"/>
          <w:shd w:fill="FFFFFF" w:val="clear"/>
        </w:rPr>
        <w:t> Какой из следующих терминов описывает связь между двумя таблицами в реляционной базе данных?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Индекс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Ключ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Атрибут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Схема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4.</w:t>
      </w:r>
      <w:r>
        <w:rPr>
          <w:sz w:val="24"/>
          <w:szCs w:val="24"/>
          <w:shd w:fill="FFFFFF" w:val="clear"/>
        </w:rPr>
        <w:t> Какой из следующих подходов к защите баз данных включает в себя создание регулярных резервных копий?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Физическая безопасность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Логическая безопасность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Политика управления доступом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Планы восстановления после сбоев</w:t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b/>
          <w:sz w:val="24"/>
          <w:szCs w:val="24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5.</w:t>
      </w:r>
      <w:r>
        <w:rPr>
          <w:sz w:val="24"/>
          <w:szCs w:val="24"/>
          <w:shd w:fill="FFFFFF" w:val="clear"/>
          <w:lang w:val="en-US"/>
        </w:rPr>
        <w:t> </w:t>
      </w:r>
      <w:r>
        <w:rPr>
          <w:sz w:val="24"/>
          <w:szCs w:val="24"/>
          <w:shd w:fill="FFFFFF" w:val="clear"/>
        </w:rPr>
        <w:t xml:space="preserve">Что такое </w:t>
      </w:r>
      <w:r>
        <w:rPr>
          <w:sz w:val="24"/>
          <w:szCs w:val="24"/>
          <w:shd w:fill="FFFFFF" w:val="clear"/>
          <w:lang w:val="en-US"/>
        </w:rPr>
        <w:t>SQL</w:t>
      </w:r>
      <w:r>
        <w:rPr>
          <w:sz w:val="24"/>
          <w:szCs w:val="24"/>
          <w:shd w:fill="FFFFFF" w:val="clear"/>
        </w:rPr>
        <w:t>-инъекция?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Метод оптимизации запросов к базе данных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Уязвимость, позволяющая злоумышленнику выполнять произвольные SQL-запросы в базе данных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Процесс резервного копирования базы данных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Метод нормализации базы данных</w:t>
      </w:r>
      <w:r>
        <w:rPr>
          <w:sz w:val="24"/>
          <w:szCs w:val="24"/>
        </w:rPr>
        <w:br/>
      </w:r>
      <w:r>
        <w:rPr>
          <w:color w:val="auto"/>
          <w:lang w:bidi="ar-SA"/>
        </w:rPr>
        <w:br/>
      </w:r>
      <w:r>
        <w:rPr>
          <w:color w:val="auto"/>
          <w:sz w:val="24"/>
          <w:szCs w:val="24"/>
          <w:lang w:bidi="ar-SA"/>
        </w:rPr>
        <w:t>6. Какие методы защиты баз данных направлены на обработку больших массивов информации? (Выберите все подходящие варианты ответов)</w:t>
        <w:br/>
        <w:t>   A) Шифрование данных</w:t>
        <w:br/>
        <w:t>   B) Индексация таблиц</w:t>
        <w:br/>
        <w:t>   C) Нормализация данных</w:t>
        <w:br/>
        <w:t>   D) Оптимизация запросов</w:t>
        <w:br/>
        <w:br/>
        <w:t>7. Какие из следующих принципов нормализации баз данных помогают избежать избыточности данных? (Выберите все подходящие варианты ответов)</w:t>
        <w:br/>
        <w:t>   A) Первичная ключевая зависимость</w:t>
        <w:br/>
        <w:t>   B) Третья нормальная форма</w:t>
        <w:br/>
        <w:t>   C) Внешний ключ</w:t>
        <w:br/>
        <w:t>   D) Индексирование</w:t>
        <w:br/>
        <w:br/>
      </w:r>
      <w:r>
        <w:rPr>
          <w:rFonts w:eastAsia="MS Gothic"/>
          <w:color w:val="auto"/>
          <w:sz w:val="24"/>
          <w:szCs w:val="24"/>
          <w:lang w:bidi="ar-SA"/>
        </w:rPr>
        <w:t>8</w:t>
      </w:r>
      <w:r>
        <w:rPr>
          <w:color w:val="auto"/>
          <w:sz w:val="24"/>
          <w:szCs w:val="24"/>
          <w:lang w:bidi="ar-SA"/>
        </w:rPr>
        <w:t>. Установите соответствие между типами баз данных и их характеристиками:</w:t>
        <w:br/>
      </w:r>
    </w:p>
    <w:tbl>
      <w:tblPr>
        <w:tblStyle w:val="a8"/>
        <w:tblW w:w="10594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04"/>
        <w:gridCol w:w="3402"/>
        <w:gridCol w:w="708"/>
        <w:gridCol w:w="5780"/>
      </w:tblGrid>
      <w:tr>
        <w:trPr/>
        <w:tc>
          <w:tcPr>
            <w:tcW w:w="410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Тип базы данных</w:t>
            </w:r>
          </w:p>
        </w:tc>
        <w:tc>
          <w:tcPr>
            <w:tcW w:w="648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Характеристика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Реляционная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Данные организованы в виде объектов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Иерархическая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bidi w:val="0"/>
              <w:spacing w:before="0" w:after="0"/>
              <w:ind w:hanging="0" w:start="113" w:end="227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Данные представлены в виде таблиц с отношениями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Объектно-ориентированная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Данные организованы в древовидной структуре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9. Установите соответствие между проблемами и возможными решениями:</w:t>
        <w:br/>
      </w:r>
    </w:p>
    <w:tbl>
      <w:tblPr>
        <w:tblStyle w:val="a8"/>
        <w:tblW w:w="10594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04"/>
        <w:gridCol w:w="3402"/>
        <w:gridCol w:w="708"/>
        <w:gridCol w:w="5780"/>
      </w:tblGrid>
      <w:tr>
        <w:trPr/>
        <w:tc>
          <w:tcPr>
            <w:tcW w:w="410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Проблема</w:t>
            </w:r>
          </w:p>
        </w:tc>
        <w:tc>
          <w:tcPr>
            <w:tcW w:w="6488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Решение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Потеря данных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Использование распределенных баз данных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Низкая производительность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Регулярное резервное копирование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Необходимость масштабирования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78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Оптимизация запросов и индексация</w:t>
            </w:r>
          </w:p>
        </w:tc>
      </w:tr>
    </w:tbl>
    <w:p>
      <w:pPr>
        <w:pStyle w:val="Normal"/>
        <w:widowControl/>
        <w:rPr>
          <w:b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10. Упорядочите этапы процесса восстановления базы данных после сбоя:</w:t>
        <w:br/>
        <w:t>A. Анализ причин сбоя</w:t>
        <w:br/>
        <w:t>B. Восстановление из резервной копии</w:t>
        <w:br/>
        <w:t>C. Проверка целостности восстановленных данных</w:t>
        <w:br/>
        <w:t>D. Обновление системы для предотвращения будущих сбоев</w:t>
        <w:br/>
        <w:br/>
      </w:r>
    </w:p>
    <w:p>
      <w:pPr>
        <w:pStyle w:val="ListParagraph"/>
        <w:numPr>
          <w:ilvl w:val="0"/>
          <w:numId w:val="2"/>
        </w:numPr>
        <w:ind w:hanging="360" w:start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center"/>
        <w:rPr>
          <w:b/>
        </w:rPr>
      </w:pPr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>
          <w:shd w:fill="FFFFFF" w:val="clear"/>
        </w:rPr>
        <w:t>SQL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>
          <w:shd w:fill="FFFFFF" w:val="clear"/>
        </w:rPr>
        <w:t>нормализация базы данных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/>
        <w:t>В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>
          <w:lang w:val="en-US"/>
        </w:rPr>
        <w:t>D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/>
        <w:t>В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/>
        <w:t xml:space="preserve">С, </w:t>
      </w:r>
      <w:r>
        <w:rPr>
          <w:lang w:val="en-US"/>
        </w:rPr>
        <w:t>D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/>
        <w:t>В, С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>
          <w:color w:val="auto"/>
          <w:lang w:bidi="ar-SA"/>
        </w:rPr>
        <w:t>A2, B3, C1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>
          <w:color w:val="auto"/>
          <w:lang w:bidi="ar-SA"/>
        </w:rPr>
        <w:t>A2, B3, C1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1077"/>
        <w:rPr/>
      </w:pPr>
      <w:r>
        <w:rPr>
          <w:color w:val="auto"/>
          <w:lang w:bidi="ar-SA"/>
        </w:rPr>
        <w:t>A, B, C, D</w:t>
      </w:r>
    </w:p>
    <w:p>
      <w:pPr>
        <w:pStyle w:val="11"/>
        <w:tabs>
          <w:tab w:val="clear" w:pos="708"/>
          <w:tab w:val="left" w:pos="724" w:leader="none"/>
        </w:tabs>
        <w:spacing w:lineRule="auto" w:line="372"/>
        <w:ind w:hanging="0" w:start="380"/>
        <w:rPr/>
      </w:pPr>
      <w:r>
        <w:rPr/>
      </w:r>
    </w:p>
    <w:sectPr>
      <w:type w:val="continuous"/>
      <w:pgSz w:w="11906" w:h="16838"/>
      <w:pgMar w:left="1908" w:right="1097" w:gutter="0" w:header="0" w:top="1934" w:footer="3" w:bottom="1689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875214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Style16" w:customStyle="1">
    <w:name w:val="Без интервала Знак"/>
    <w:link w:val="NoSpacing"/>
    <w:qFormat/>
    <w:rsid w:val="00ce6c22"/>
    <w:rPr/>
  </w:style>
  <w:style w:type="character" w:styleId="Style17" w:customStyle="1">
    <w:name w:val="Верхний колонтитул Знак"/>
    <w:basedOn w:val="DefaultParagraphFont"/>
    <w:uiPriority w:val="99"/>
    <w:qFormat/>
    <w:rsid w:val="00a234ff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a234ff"/>
    <w:rPr>
      <w:color w:val="000000"/>
    </w:rPr>
  </w:style>
  <w:style w:type="character" w:styleId="Style19" w:customStyle="1">
    <w:name w:val="Подпись к таблице_"/>
    <w:basedOn w:val="DefaultParagraphFont"/>
    <w:link w:val="Style28"/>
    <w:qFormat/>
    <w:rsid w:val="00c82f30"/>
    <w:rPr>
      <w:rFonts w:ascii="Times New Roman" w:hAnsi="Times New Roman" w:eastAsia="Times New Roman" w:cs="Times New Roman"/>
      <w:sz w:val="22"/>
      <w:szCs w:val="22"/>
    </w:rPr>
  </w:style>
  <w:style w:type="character" w:styleId="Style20" w:customStyle="1">
    <w:name w:val="Абзац списка Знак"/>
    <w:link w:val="ListParagraph"/>
    <w:uiPriority w:val="34"/>
    <w:qFormat/>
    <w:locked/>
    <w:rsid w:val="00c82f30"/>
    <w:rPr>
      <w:color w:val="000000"/>
    </w:rPr>
  </w:style>
  <w:style w:type="character" w:styleId="Strong">
    <w:name w:val="Strong"/>
    <w:basedOn w:val="DefaultParagraphFont"/>
    <w:uiPriority w:val="22"/>
    <w:qFormat/>
    <w:rsid w:val="00c82f30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90cf3"/>
    <w:rPr>
      <w:sz w:val="16"/>
      <w:szCs w:val="16"/>
    </w:rPr>
  </w:style>
  <w:style w:type="character" w:styleId="Style21" w:customStyle="1">
    <w:name w:val="Текст примечания Знак"/>
    <w:basedOn w:val="DefaultParagraphFont"/>
    <w:uiPriority w:val="99"/>
    <w:semiHidden/>
    <w:qFormat/>
    <w:rsid w:val="00390cf3"/>
    <w:rPr>
      <w:color w:val="000000"/>
      <w:sz w:val="20"/>
      <w:szCs w:val="20"/>
    </w:rPr>
  </w:style>
  <w:style w:type="character" w:styleId="Style22" w:customStyle="1">
    <w:name w:val="Тема примечания Знак"/>
    <w:basedOn w:val="Style21"/>
    <w:link w:val="annotationsubject"/>
    <w:uiPriority w:val="99"/>
    <w:semiHidden/>
    <w:qFormat/>
    <w:rsid w:val="00390cf3"/>
    <w:rPr>
      <w:b/>
      <w:bCs/>
      <w:color w:val="000000"/>
      <w:sz w:val="20"/>
      <w:szCs w:val="20"/>
    </w:rPr>
  </w:style>
  <w:style w:type="character" w:styleId="Style23" w:customStyle="1">
    <w:name w:val="Текст выноски Знак"/>
    <w:basedOn w:val="DefaultParagraphFont"/>
    <w:link w:val="BalloonText"/>
    <w:uiPriority w:val="99"/>
    <w:semiHidden/>
    <w:qFormat/>
    <w:rsid w:val="00390cf3"/>
    <w:rPr>
      <w:rFonts w:ascii="Segoe UI" w:hAnsi="Segoe UI" w:cs="Segoe UI"/>
      <w:color w:val="000000"/>
      <w:sz w:val="18"/>
      <w:szCs w:val="18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36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12" w:customStyle="1">
    <w:name w:val="Заголовок №1"/>
    <w:basedOn w:val="Normal"/>
    <w:link w:val="1"/>
    <w:qFormat/>
    <w:pPr>
      <w:spacing w:before="0" w:after="160"/>
      <w:ind w:firstLine="67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6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21" w:customStyle="1">
    <w:name w:val="Основной текст (2)"/>
    <w:basedOn w:val="Normal"/>
    <w:link w:val="2"/>
    <w:qFormat/>
    <w:pPr>
      <w:spacing w:lineRule="auto" w:line="259"/>
      <w:ind w:start="2260"/>
    </w:pPr>
    <w:rPr>
      <w:rFonts w:ascii="Times New Roman" w:hAnsi="Times New Roman" w:eastAsia="Times New Roman" w:cs="Times New Roman"/>
      <w:sz w:val="22"/>
      <w:szCs w:val="22"/>
    </w:rPr>
  </w:style>
  <w:style w:type="paragraph" w:styleId="NoSpacing">
    <w:name w:val="No Spacing"/>
    <w:link w:val="Style16"/>
    <w:qFormat/>
    <w:rsid w:val="00ce6c22"/>
    <w:pPr>
      <w:widowControl/>
      <w:suppressAutoHyphens w:val="true"/>
      <w:overflowPunct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auto"/>
      <w:kern w:val="0"/>
      <w:sz w:val="24"/>
      <w:szCs w:val="24"/>
      <w:lang w:val="ru-RU" w:eastAsia="ru-RU" w:bidi="ru-RU"/>
    </w:rPr>
  </w:style>
  <w:style w:type="paragraph" w:styleId="Style27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a234f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a234f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 w:customStyle="1">
    <w:name w:val="Подпись к таблице"/>
    <w:basedOn w:val="Normal"/>
    <w:link w:val="Style19"/>
    <w:qFormat/>
    <w:rsid w:val="00c82f30"/>
    <w:pPr/>
    <w:rPr>
      <w:rFonts w:ascii="Times New Roman" w:hAnsi="Times New Roman" w:eastAsia="Times New Roman" w:cs="Times New Roman"/>
      <w:color w:val="auto"/>
      <w:sz w:val="22"/>
      <w:szCs w:val="22"/>
    </w:rPr>
  </w:style>
  <w:style w:type="paragraph" w:styleId="ListParagraph">
    <w:name w:val="List Paragraph"/>
    <w:basedOn w:val="Normal"/>
    <w:link w:val="Style20"/>
    <w:uiPriority w:val="34"/>
    <w:qFormat/>
    <w:rsid w:val="00c82f30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Style21"/>
    <w:uiPriority w:val="99"/>
    <w:semiHidden/>
    <w:unhideWhenUsed/>
    <w:rsid w:val="00390cf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2"/>
    <w:uiPriority w:val="99"/>
    <w:semiHidden/>
    <w:unhideWhenUsed/>
    <w:qFormat/>
    <w:rsid w:val="00390cf3"/>
    <w:pPr/>
    <w:rPr>
      <w:b/>
      <w:bCs/>
    </w:rPr>
  </w:style>
  <w:style w:type="paragraph" w:styleId="BalloonText">
    <w:name w:val="Balloon Text"/>
    <w:basedOn w:val="Normal"/>
    <w:link w:val="Style23"/>
    <w:uiPriority w:val="99"/>
    <w:semiHidden/>
    <w:unhideWhenUsed/>
    <w:qFormat/>
    <w:rsid w:val="00390cf3"/>
    <w:pPr/>
    <w:rPr>
      <w:rFonts w:ascii="Segoe UI" w:hAnsi="Segoe UI" w:cs="Segoe UI"/>
      <w:sz w:val="18"/>
      <w:szCs w:val="18"/>
    </w:rPr>
  </w:style>
  <w:style w:type="numbering" w:styleId="Style2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ce6c2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LibreOffice/25.8.3.2$Windows_X86_64 LibreOffice_project/8ca8d55c161d602844f5428fa4b58097424e324e</Application>
  <AppVersion>15.0000</AppVersion>
  <Pages>5</Pages>
  <Words>658</Words>
  <Characters>4654</Characters>
  <CharactersWithSpaces>5295</CharactersWithSpaces>
  <Paragraphs>80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2025-11-09T11:45:00Z</dcterms:created>
  <dc:creator>Волик М.В.</dc:creator>
  <dc:description/>
  <dc:language>ru-RU</dc:language>
  <cp:lastModifiedBy/>
  <cp:lastPrinted>2025-12-17T13:48:13Z</cp:lastPrinted>
  <dcterms:modified xsi:type="dcterms:W3CDTF">2025-12-17T13:48:18Z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